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DACB" w14:textId="5B3A04AA" w:rsidR="009C42D6" w:rsidRDefault="00994F96">
      <w:pPr>
        <w:pStyle w:val="Heading3"/>
        <w:keepNext w:val="0"/>
        <w:keepLines w:val="0"/>
        <w:shd w:val="clear" w:color="auto" w:fill="FFFFFF"/>
        <w:spacing w:before="0" w:after="220"/>
        <w:jc w:val="both"/>
      </w:pPr>
      <w:bookmarkStart w:id="0" w:name="_xl40bf6dcffq"/>
      <w:bookmarkEnd w:id="0"/>
      <w:r>
        <w:rPr>
          <w:color w:val="353535"/>
          <w:sz w:val="36"/>
          <w:szCs w:val="36"/>
        </w:rPr>
        <w:t>Año 2020</w:t>
      </w:r>
      <w:r w:rsidR="00487630">
        <w:rPr>
          <w:color w:val="353535"/>
          <w:sz w:val="36"/>
          <w:szCs w:val="36"/>
        </w:rPr>
        <w:t>/2021</w:t>
      </w:r>
      <w:r>
        <w:rPr>
          <w:color w:val="353535"/>
          <w:sz w:val="36"/>
          <w:szCs w:val="36"/>
        </w:rPr>
        <w:t xml:space="preserve">. Convocatoria para presentación de Proyectos para el período </w:t>
      </w:r>
      <w:r w:rsidR="007E72B9">
        <w:rPr>
          <w:color w:val="353535"/>
          <w:sz w:val="36"/>
          <w:szCs w:val="36"/>
        </w:rPr>
        <w:t>Noviembre</w:t>
      </w:r>
      <w:r>
        <w:rPr>
          <w:color w:val="353535"/>
          <w:sz w:val="36"/>
          <w:szCs w:val="36"/>
        </w:rPr>
        <w:t xml:space="preserve"> 2020 - Marzo 202</w:t>
      </w:r>
      <w:r w:rsidR="00487630">
        <w:rPr>
          <w:color w:val="353535"/>
          <w:sz w:val="36"/>
          <w:szCs w:val="36"/>
        </w:rPr>
        <w:t>1</w:t>
      </w:r>
      <w:r>
        <w:rPr>
          <w:color w:val="353535"/>
          <w:sz w:val="36"/>
          <w:szCs w:val="36"/>
        </w:rPr>
        <w:t>. (Convocatoria Abierta)</w:t>
      </w:r>
    </w:p>
    <w:p w14:paraId="465E897E" w14:textId="77777777" w:rsidR="009C42D6" w:rsidRDefault="00994F96">
      <w:pPr>
        <w:spacing w:after="300" w:line="408" w:lineRule="auto"/>
        <w:jc w:val="both"/>
        <w:rPr>
          <w:color w:val="353535"/>
          <w:sz w:val="21"/>
          <w:szCs w:val="21"/>
        </w:rPr>
      </w:pPr>
      <w:r>
        <w:rPr>
          <w:color w:val="353535"/>
          <w:sz w:val="21"/>
          <w:szCs w:val="21"/>
        </w:rPr>
        <w:t>Requisitos básicos para la postulación:</w:t>
      </w:r>
    </w:p>
    <w:p w14:paraId="33CD8868" w14:textId="77777777" w:rsidR="009C42D6" w:rsidRDefault="00994F96">
      <w:pPr>
        <w:spacing w:after="160"/>
        <w:jc w:val="both"/>
        <w:rPr>
          <w:color w:val="353535"/>
          <w:sz w:val="21"/>
          <w:szCs w:val="21"/>
        </w:rPr>
      </w:pPr>
      <w:r>
        <w:rPr>
          <w:color w:val="353535"/>
          <w:sz w:val="21"/>
          <w:szCs w:val="21"/>
        </w:rPr>
        <w:t>Visto el Plan de Trabajo de la Comisión Directiva 2018-2022 de ABJA se ha definido el otorgamiento de becas en acuerdo con las prioridades de la cooperación japonesa. En tal sentido ABJA anuncia la apertura de la Convocatoria a estas becas según el presente Reglamento:</w:t>
      </w:r>
    </w:p>
    <w:p w14:paraId="6EF6CB41" w14:textId="77777777" w:rsidR="009C42D6" w:rsidRDefault="00994F96">
      <w:pPr>
        <w:spacing w:after="160"/>
        <w:jc w:val="both"/>
        <w:rPr>
          <w:color w:val="353535"/>
          <w:sz w:val="21"/>
          <w:szCs w:val="21"/>
        </w:rPr>
      </w:pPr>
      <w:r>
        <w:rPr>
          <w:color w:val="353535"/>
          <w:sz w:val="21"/>
          <w:szCs w:val="21"/>
        </w:rPr>
        <w:t>Destinatarios: ex Becarios de organismos del estado, universidades u otras instituciones académicas y/o científicas.</w:t>
      </w:r>
    </w:p>
    <w:p w14:paraId="0CE075C7" w14:textId="77777777" w:rsidR="009C42D6" w:rsidRDefault="00994F96">
      <w:pPr>
        <w:spacing w:after="160"/>
        <w:jc w:val="both"/>
        <w:rPr>
          <w:color w:val="353535"/>
          <w:sz w:val="21"/>
          <w:szCs w:val="21"/>
        </w:rPr>
      </w:pPr>
      <w:r>
        <w:rPr>
          <w:color w:val="353535"/>
          <w:sz w:val="21"/>
          <w:szCs w:val="21"/>
        </w:rPr>
        <w:t>Finalidad: realizar proyectos relacionados con la actividad profesional.</w:t>
      </w:r>
    </w:p>
    <w:p w14:paraId="1A12FBD5" w14:textId="77777777" w:rsidR="009C42D6" w:rsidRPr="00202401" w:rsidRDefault="00994F96">
      <w:pPr>
        <w:spacing w:after="160"/>
        <w:jc w:val="both"/>
        <w:rPr>
          <w:color w:val="353535"/>
          <w:sz w:val="21"/>
          <w:szCs w:val="21"/>
        </w:rPr>
      </w:pPr>
      <w:r>
        <w:rPr>
          <w:color w:val="353535"/>
          <w:sz w:val="21"/>
          <w:szCs w:val="21"/>
        </w:rPr>
        <w:t>Duración: el monto deberá ejecutarse dentro del</w:t>
      </w:r>
      <w:r>
        <w:t xml:space="preserve"> período </w:t>
      </w:r>
      <w:r>
        <w:rPr>
          <w:color w:val="353535"/>
          <w:sz w:val="21"/>
          <w:szCs w:val="21"/>
        </w:rPr>
        <w:t xml:space="preserve">previo al </w:t>
      </w:r>
      <w:r w:rsidRPr="00202401">
        <w:rPr>
          <w:color w:val="353535"/>
          <w:sz w:val="21"/>
          <w:szCs w:val="21"/>
        </w:rPr>
        <w:t>quince (15) de marzo de 20</w:t>
      </w:r>
      <w:r w:rsidR="00C1736B" w:rsidRPr="00202401">
        <w:rPr>
          <w:color w:val="353535"/>
          <w:sz w:val="21"/>
          <w:szCs w:val="21"/>
        </w:rPr>
        <w:t>21</w:t>
      </w:r>
    </w:p>
    <w:p w14:paraId="6553D81E" w14:textId="77777777" w:rsidR="009C42D6" w:rsidRPr="00202401" w:rsidRDefault="00994F96">
      <w:pPr>
        <w:spacing w:after="160"/>
        <w:jc w:val="both"/>
      </w:pPr>
      <w:r w:rsidRPr="00202401">
        <w:rPr>
          <w:color w:val="353535"/>
          <w:sz w:val="21"/>
          <w:szCs w:val="21"/>
        </w:rPr>
        <w:t xml:space="preserve">Período de realización: los proyectos se realizarán hasta </w:t>
      </w:r>
      <w:r w:rsidR="00487630" w:rsidRPr="00202401">
        <w:rPr>
          <w:color w:val="353535"/>
          <w:sz w:val="21"/>
          <w:szCs w:val="21"/>
        </w:rPr>
        <w:t>mazo</w:t>
      </w:r>
      <w:r w:rsidRPr="00202401">
        <w:rPr>
          <w:color w:val="353535"/>
          <w:sz w:val="21"/>
          <w:szCs w:val="21"/>
        </w:rPr>
        <w:t xml:space="preserve"> de 202</w:t>
      </w:r>
      <w:r w:rsidR="00487630" w:rsidRPr="00202401">
        <w:rPr>
          <w:color w:val="353535"/>
          <w:sz w:val="21"/>
          <w:szCs w:val="21"/>
        </w:rPr>
        <w:t>1</w:t>
      </w:r>
      <w:r w:rsidRPr="00202401">
        <w:rPr>
          <w:color w:val="353535"/>
          <w:sz w:val="21"/>
          <w:szCs w:val="21"/>
        </w:rPr>
        <w:t>, considerando</w:t>
      </w:r>
      <w:r>
        <w:rPr>
          <w:color w:val="353535"/>
          <w:sz w:val="21"/>
          <w:szCs w:val="21"/>
        </w:rPr>
        <w:t xml:space="preserve"> que el monto total debe ejecutarse tal </w:t>
      </w:r>
      <w:r w:rsidRPr="00202401">
        <w:rPr>
          <w:color w:val="353535"/>
          <w:sz w:val="21"/>
          <w:szCs w:val="21"/>
        </w:rPr>
        <w:t>como está estipulado en el punto Duración ut supra.</w:t>
      </w:r>
    </w:p>
    <w:p w14:paraId="5C96EA83" w14:textId="77777777" w:rsidR="009C42D6" w:rsidRPr="00487630" w:rsidRDefault="00994F96">
      <w:pPr>
        <w:spacing w:after="160"/>
        <w:jc w:val="both"/>
      </w:pPr>
      <w:r w:rsidRPr="00202401">
        <w:rPr>
          <w:color w:val="353535"/>
          <w:sz w:val="21"/>
          <w:szCs w:val="21"/>
        </w:rPr>
        <w:t xml:space="preserve">Cantidad: se otorgarán hasta </w:t>
      </w:r>
      <w:r w:rsidR="00487630" w:rsidRPr="00202401">
        <w:rPr>
          <w:color w:val="353535"/>
          <w:sz w:val="21"/>
          <w:szCs w:val="21"/>
        </w:rPr>
        <w:t>5</w:t>
      </w:r>
      <w:r w:rsidRPr="00202401">
        <w:rPr>
          <w:color w:val="353535"/>
          <w:sz w:val="21"/>
          <w:szCs w:val="21"/>
        </w:rPr>
        <w:t>0.000 AR$ en</w:t>
      </w:r>
      <w:r w:rsidRPr="00487630">
        <w:rPr>
          <w:color w:val="353535"/>
          <w:sz w:val="21"/>
          <w:szCs w:val="21"/>
        </w:rPr>
        <w:t xml:space="preserve"> el marco de la presente convocatoria.</w:t>
      </w:r>
    </w:p>
    <w:p w14:paraId="24AF87D9" w14:textId="77777777" w:rsidR="009C42D6" w:rsidRDefault="00994F96">
      <w:pPr>
        <w:pStyle w:val="ListParagraph"/>
        <w:numPr>
          <w:ilvl w:val="0"/>
          <w:numId w:val="4"/>
        </w:numPr>
        <w:spacing w:after="160"/>
        <w:ind w:left="426"/>
        <w:jc w:val="both"/>
        <w:rPr>
          <w:b/>
          <w:color w:val="353535"/>
          <w:sz w:val="21"/>
          <w:szCs w:val="21"/>
        </w:rPr>
      </w:pPr>
      <w:r w:rsidRPr="00487630">
        <w:rPr>
          <w:b/>
          <w:color w:val="353535"/>
          <w:sz w:val="21"/>
          <w:szCs w:val="21"/>
        </w:rPr>
        <w:t>REQUISITOS PARA PA</w:t>
      </w:r>
      <w:r>
        <w:rPr>
          <w:b/>
          <w:color w:val="353535"/>
          <w:sz w:val="21"/>
          <w:szCs w:val="21"/>
        </w:rPr>
        <w:t>RTICIPAR DE LA CONVOCATORIA</w:t>
      </w:r>
    </w:p>
    <w:p w14:paraId="7CFB44A7" w14:textId="77777777" w:rsidR="009C42D6" w:rsidRDefault="009C42D6">
      <w:pPr>
        <w:pStyle w:val="ListParagraph"/>
        <w:spacing w:after="160"/>
        <w:jc w:val="both"/>
        <w:rPr>
          <w:b/>
          <w:color w:val="353535"/>
          <w:sz w:val="21"/>
          <w:szCs w:val="21"/>
        </w:rPr>
      </w:pPr>
    </w:p>
    <w:p w14:paraId="4E85BD0B" w14:textId="77777777" w:rsidR="009C42D6" w:rsidRDefault="00994F96">
      <w:pPr>
        <w:pStyle w:val="ListParagraph"/>
        <w:numPr>
          <w:ilvl w:val="0"/>
          <w:numId w:val="3"/>
        </w:numPr>
        <w:spacing w:after="160"/>
        <w:jc w:val="both"/>
        <w:rPr>
          <w:color w:val="353535"/>
          <w:sz w:val="21"/>
          <w:szCs w:val="21"/>
        </w:rPr>
      </w:pPr>
      <w:r>
        <w:rPr>
          <w:color w:val="353535"/>
          <w:sz w:val="21"/>
          <w:szCs w:val="21"/>
        </w:rPr>
        <w:t>Tener nacionalidad argentina y estar residiendo en el país al momento de solicitar la beca.</w:t>
      </w:r>
    </w:p>
    <w:p w14:paraId="7BB22AEE" w14:textId="77777777" w:rsidR="009C42D6" w:rsidRDefault="00994F96">
      <w:pPr>
        <w:pStyle w:val="ListParagraph"/>
        <w:numPr>
          <w:ilvl w:val="0"/>
          <w:numId w:val="3"/>
        </w:numPr>
        <w:spacing w:after="160"/>
        <w:jc w:val="both"/>
        <w:rPr>
          <w:color w:val="353535"/>
          <w:sz w:val="21"/>
          <w:szCs w:val="21"/>
        </w:rPr>
      </w:pPr>
      <w:r>
        <w:rPr>
          <w:color w:val="353535"/>
          <w:sz w:val="21"/>
          <w:szCs w:val="21"/>
        </w:rPr>
        <w:t>Ser graduado de carreras de no menos de cuatro años de duración.</w:t>
      </w:r>
    </w:p>
    <w:p w14:paraId="7D25E7CA" w14:textId="77777777" w:rsidR="009C42D6" w:rsidRDefault="00994F96">
      <w:pPr>
        <w:pStyle w:val="ListParagraph"/>
        <w:numPr>
          <w:ilvl w:val="0"/>
          <w:numId w:val="3"/>
        </w:numPr>
        <w:spacing w:after="160"/>
        <w:jc w:val="both"/>
        <w:rPr>
          <w:color w:val="353535"/>
          <w:sz w:val="21"/>
          <w:szCs w:val="21"/>
        </w:rPr>
      </w:pPr>
      <w:r>
        <w:rPr>
          <w:color w:val="353535"/>
          <w:sz w:val="21"/>
          <w:szCs w:val="21"/>
        </w:rPr>
        <w:t>Acreditar su desempeño en un organismo del estado, en una universidad u otra institución académica y/o científica.</w:t>
      </w:r>
    </w:p>
    <w:p w14:paraId="323A2FFD" w14:textId="77777777" w:rsidR="009C42D6" w:rsidRDefault="00994F96">
      <w:pPr>
        <w:pStyle w:val="ListParagraph"/>
        <w:numPr>
          <w:ilvl w:val="0"/>
          <w:numId w:val="3"/>
        </w:numPr>
        <w:spacing w:after="160"/>
        <w:jc w:val="both"/>
        <w:rPr>
          <w:color w:val="353535"/>
          <w:sz w:val="21"/>
          <w:szCs w:val="21"/>
        </w:rPr>
      </w:pPr>
      <w:r>
        <w:rPr>
          <w:color w:val="353535"/>
          <w:sz w:val="21"/>
          <w:szCs w:val="21"/>
        </w:rPr>
        <w:t>Presentar un proyecto que constituya una contribución al desarrollo de su campo de especialización.</w:t>
      </w:r>
    </w:p>
    <w:p w14:paraId="7D4FBD45" w14:textId="77777777" w:rsidR="009C42D6" w:rsidRPr="00487630" w:rsidRDefault="00994F96">
      <w:pPr>
        <w:pStyle w:val="ListParagraph"/>
        <w:numPr>
          <w:ilvl w:val="0"/>
          <w:numId w:val="3"/>
        </w:numPr>
        <w:spacing w:after="160"/>
        <w:jc w:val="both"/>
      </w:pPr>
      <w:r>
        <w:rPr>
          <w:color w:val="353535"/>
          <w:sz w:val="21"/>
          <w:szCs w:val="21"/>
        </w:rPr>
        <w:t xml:space="preserve">Presentar la </w:t>
      </w:r>
      <w:r>
        <w:rPr>
          <w:i/>
          <w:color w:val="353535"/>
          <w:sz w:val="21"/>
          <w:szCs w:val="21"/>
        </w:rPr>
        <w:t>Carta Acuerdo - Proyectos 2020</w:t>
      </w:r>
      <w:r w:rsidR="00487630">
        <w:rPr>
          <w:i/>
          <w:color w:val="353535"/>
          <w:sz w:val="21"/>
          <w:szCs w:val="21"/>
        </w:rPr>
        <w:t xml:space="preserve">. </w:t>
      </w:r>
      <w:r w:rsidR="00487630" w:rsidRPr="00487630">
        <w:rPr>
          <w:b/>
          <w:color w:val="353535"/>
          <w:sz w:val="21"/>
          <w:szCs w:val="21"/>
        </w:rPr>
        <w:t>Importante:</w:t>
      </w:r>
      <w:r w:rsidR="00487630" w:rsidRPr="00487630">
        <w:rPr>
          <w:color w:val="353535"/>
          <w:sz w:val="21"/>
          <w:szCs w:val="21"/>
        </w:rPr>
        <w:t xml:space="preserve"> </w:t>
      </w:r>
      <w:r w:rsidRPr="00487630">
        <w:rPr>
          <w:color w:val="353535"/>
          <w:sz w:val="21"/>
          <w:szCs w:val="21"/>
        </w:rPr>
        <w:t xml:space="preserve">sólo </w:t>
      </w:r>
      <w:r w:rsidR="00487630">
        <w:rPr>
          <w:color w:val="353535"/>
          <w:sz w:val="21"/>
          <w:szCs w:val="21"/>
        </w:rPr>
        <w:t xml:space="preserve">se presenta la Carta Acuerdo </w:t>
      </w:r>
      <w:r w:rsidRPr="00487630">
        <w:rPr>
          <w:color w:val="353535"/>
          <w:sz w:val="21"/>
          <w:szCs w:val="21"/>
        </w:rPr>
        <w:t xml:space="preserve">cuando </w:t>
      </w:r>
      <w:r w:rsidR="00487630">
        <w:rPr>
          <w:color w:val="353535"/>
          <w:sz w:val="21"/>
          <w:szCs w:val="21"/>
        </w:rPr>
        <w:t xml:space="preserve">el proyecto </w:t>
      </w:r>
      <w:r w:rsidRPr="00487630">
        <w:rPr>
          <w:color w:val="353535"/>
          <w:sz w:val="21"/>
          <w:szCs w:val="21"/>
        </w:rPr>
        <w:t>ha sido seleccionado</w:t>
      </w:r>
    </w:p>
    <w:p w14:paraId="771D0164" w14:textId="77777777" w:rsidR="009C42D6" w:rsidRDefault="00994F96">
      <w:pPr>
        <w:pStyle w:val="ListParagraph"/>
        <w:numPr>
          <w:ilvl w:val="0"/>
          <w:numId w:val="3"/>
        </w:numPr>
        <w:spacing w:after="160"/>
        <w:jc w:val="both"/>
        <w:rPr>
          <w:color w:val="353535"/>
          <w:sz w:val="21"/>
          <w:szCs w:val="21"/>
        </w:rPr>
      </w:pPr>
      <w:r w:rsidRPr="00487630">
        <w:rPr>
          <w:color w:val="353535"/>
          <w:sz w:val="21"/>
          <w:szCs w:val="21"/>
        </w:rPr>
        <w:t>Las becas no están disponibles para Becarios que estén estudiando o realizando cursos actualmente.</w:t>
      </w:r>
    </w:p>
    <w:p w14:paraId="2ECB46F3" w14:textId="77777777" w:rsidR="001934E3" w:rsidRPr="001934E3" w:rsidRDefault="001934E3" w:rsidP="001934E3">
      <w:pPr>
        <w:pStyle w:val="ListParagraph"/>
        <w:numPr>
          <w:ilvl w:val="0"/>
          <w:numId w:val="3"/>
        </w:numPr>
        <w:spacing w:after="160"/>
        <w:jc w:val="both"/>
      </w:pPr>
      <w:r w:rsidRPr="001934E3">
        <w:rPr>
          <w:color w:val="353535"/>
          <w:sz w:val="21"/>
          <w:szCs w:val="21"/>
        </w:rPr>
        <w:t>Compromiso de presentación de un informe final y la realización de una reunión para difusión de los resultados.</w:t>
      </w:r>
    </w:p>
    <w:p w14:paraId="476DA83A" w14:textId="3F511D89" w:rsidR="001934E3" w:rsidRPr="007E72B9" w:rsidRDefault="001934E3" w:rsidP="001934E3">
      <w:pPr>
        <w:pStyle w:val="ListParagraph"/>
        <w:numPr>
          <w:ilvl w:val="0"/>
          <w:numId w:val="3"/>
        </w:numPr>
        <w:spacing w:after="160"/>
        <w:jc w:val="both"/>
      </w:pPr>
      <w:r w:rsidRPr="007E72B9">
        <w:rPr>
          <w:color w:val="353535"/>
          <w:sz w:val="21"/>
          <w:szCs w:val="21"/>
        </w:rPr>
        <w:t xml:space="preserve">Compromiso de presentar la rendición hasta el </w:t>
      </w:r>
      <w:r w:rsidR="007E72B9" w:rsidRPr="007E72B9">
        <w:rPr>
          <w:color w:val="353535"/>
          <w:sz w:val="21"/>
          <w:szCs w:val="21"/>
        </w:rPr>
        <w:t>01</w:t>
      </w:r>
      <w:r w:rsidRPr="007E72B9">
        <w:rPr>
          <w:color w:val="353535"/>
          <w:sz w:val="21"/>
          <w:szCs w:val="21"/>
        </w:rPr>
        <w:t xml:space="preserve"> de marzo de 202</w:t>
      </w:r>
      <w:r w:rsidR="00EF793B" w:rsidRPr="007E72B9">
        <w:rPr>
          <w:color w:val="353535"/>
          <w:sz w:val="21"/>
          <w:szCs w:val="21"/>
        </w:rPr>
        <w:t>1</w:t>
      </w:r>
    </w:p>
    <w:p w14:paraId="54DB8BA4" w14:textId="77777777" w:rsidR="001934E3" w:rsidRPr="00487630" w:rsidRDefault="001934E3" w:rsidP="001934E3">
      <w:pPr>
        <w:pStyle w:val="ListParagraph"/>
        <w:spacing w:after="160"/>
        <w:jc w:val="both"/>
        <w:rPr>
          <w:color w:val="353535"/>
          <w:sz w:val="21"/>
          <w:szCs w:val="21"/>
        </w:rPr>
      </w:pPr>
    </w:p>
    <w:p w14:paraId="0588F2DD" w14:textId="77777777" w:rsidR="009C42D6" w:rsidRDefault="009C42D6">
      <w:pPr>
        <w:pStyle w:val="ListParagraph"/>
        <w:spacing w:after="160"/>
        <w:jc w:val="both"/>
        <w:rPr>
          <w:color w:val="353535"/>
          <w:sz w:val="21"/>
          <w:szCs w:val="21"/>
        </w:rPr>
      </w:pPr>
    </w:p>
    <w:p w14:paraId="71D9CB6B" w14:textId="77777777" w:rsidR="009C42D6" w:rsidRDefault="00994F96">
      <w:pPr>
        <w:pStyle w:val="ListParagraph"/>
        <w:numPr>
          <w:ilvl w:val="0"/>
          <w:numId w:val="4"/>
        </w:numPr>
        <w:spacing w:after="160"/>
        <w:ind w:left="426"/>
        <w:jc w:val="both"/>
        <w:rPr>
          <w:b/>
          <w:color w:val="353535"/>
          <w:sz w:val="21"/>
          <w:szCs w:val="21"/>
        </w:rPr>
      </w:pPr>
      <w:r>
        <w:rPr>
          <w:b/>
          <w:color w:val="353535"/>
          <w:sz w:val="21"/>
          <w:szCs w:val="21"/>
        </w:rPr>
        <w:t>SOBRE EL PROCESO DE SELECCIÓN</w:t>
      </w:r>
    </w:p>
    <w:p w14:paraId="4B5DBE7B" w14:textId="77777777" w:rsidR="009C42D6" w:rsidRDefault="00994F96">
      <w:pPr>
        <w:spacing w:after="160"/>
        <w:jc w:val="both"/>
        <w:rPr>
          <w:color w:val="353535"/>
          <w:sz w:val="21"/>
          <w:szCs w:val="21"/>
        </w:rPr>
      </w:pPr>
      <w:r>
        <w:rPr>
          <w:color w:val="353535"/>
          <w:sz w:val="21"/>
          <w:szCs w:val="21"/>
        </w:rPr>
        <w:t xml:space="preserve">El proceso de selección es </w:t>
      </w:r>
      <w:bookmarkStart w:id="1" w:name="__DdeLink__269_2348979353"/>
      <w:r>
        <w:rPr>
          <w:color w:val="353535"/>
          <w:sz w:val="21"/>
          <w:szCs w:val="21"/>
        </w:rPr>
        <w:t>responsabilidad del Comité de Evaluación</w:t>
      </w:r>
      <w:bookmarkEnd w:id="1"/>
      <w:r>
        <w:rPr>
          <w:color w:val="353535"/>
          <w:sz w:val="21"/>
          <w:szCs w:val="21"/>
        </w:rPr>
        <w:t xml:space="preserve"> que estará integrado por representantes de ABJA.</w:t>
      </w:r>
    </w:p>
    <w:p w14:paraId="66616333" w14:textId="77777777" w:rsidR="009C42D6" w:rsidRDefault="00994F96">
      <w:pPr>
        <w:spacing w:after="160"/>
        <w:jc w:val="both"/>
        <w:rPr>
          <w:color w:val="353535"/>
          <w:sz w:val="21"/>
          <w:szCs w:val="21"/>
        </w:rPr>
      </w:pPr>
      <w:r>
        <w:rPr>
          <w:color w:val="353535"/>
          <w:sz w:val="21"/>
          <w:szCs w:val="21"/>
        </w:rPr>
        <w:t>Consta de las siguientes etapas:</w:t>
      </w:r>
    </w:p>
    <w:p w14:paraId="412798A8" w14:textId="77777777" w:rsidR="009C42D6" w:rsidRDefault="00994F96">
      <w:pPr>
        <w:spacing w:after="160"/>
        <w:jc w:val="both"/>
        <w:rPr>
          <w:color w:val="353535"/>
          <w:sz w:val="21"/>
          <w:szCs w:val="21"/>
        </w:rPr>
      </w:pPr>
      <w:r>
        <w:rPr>
          <w:color w:val="353535"/>
          <w:sz w:val="21"/>
          <w:szCs w:val="21"/>
        </w:rPr>
        <w:t>1ª etapa. Verificación de requisitos para participar de la convocatoria</w:t>
      </w:r>
    </w:p>
    <w:p w14:paraId="27184BE9" w14:textId="77777777" w:rsidR="009C42D6" w:rsidRDefault="00994F96">
      <w:pPr>
        <w:spacing w:after="160"/>
        <w:jc w:val="both"/>
        <w:rPr>
          <w:color w:val="353535"/>
          <w:sz w:val="21"/>
          <w:szCs w:val="21"/>
        </w:rPr>
      </w:pPr>
      <w:r>
        <w:rPr>
          <w:color w:val="353535"/>
          <w:sz w:val="21"/>
          <w:szCs w:val="21"/>
        </w:rPr>
        <w:t>2ª etapa. Evaluación y preselección de postulaciones válidas</w:t>
      </w:r>
    </w:p>
    <w:p w14:paraId="6A24EC2E" w14:textId="77777777" w:rsidR="007D4250" w:rsidRDefault="007D4250">
      <w:pPr>
        <w:spacing w:after="160"/>
        <w:jc w:val="both"/>
        <w:rPr>
          <w:color w:val="353535"/>
          <w:sz w:val="21"/>
          <w:szCs w:val="21"/>
        </w:rPr>
      </w:pPr>
    </w:p>
    <w:p w14:paraId="258585F1" w14:textId="77777777" w:rsidR="007D4250" w:rsidRDefault="00994F96">
      <w:pPr>
        <w:spacing w:after="160"/>
        <w:jc w:val="both"/>
        <w:rPr>
          <w:color w:val="353535"/>
          <w:sz w:val="21"/>
          <w:szCs w:val="21"/>
        </w:rPr>
      </w:pPr>
      <w:r w:rsidRPr="00202401">
        <w:rPr>
          <w:color w:val="353535"/>
          <w:sz w:val="21"/>
          <w:szCs w:val="21"/>
        </w:rPr>
        <w:lastRenderedPageBreak/>
        <w:t>3ª etapa.</w:t>
      </w:r>
      <w:r w:rsidR="007D4250" w:rsidRPr="00202401">
        <w:rPr>
          <w:color w:val="353535"/>
          <w:sz w:val="21"/>
          <w:szCs w:val="21"/>
        </w:rPr>
        <w:t xml:space="preserve"> Propensión a la equidad de género</w:t>
      </w:r>
    </w:p>
    <w:p w14:paraId="0E70313E" w14:textId="77777777" w:rsidR="009C42D6" w:rsidRDefault="007D4250">
      <w:pPr>
        <w:spacing w:after="160"/>
        <w:jc w:val="both"/>
      </w:pPr>
      <w:r>
        <w:rPr>
          <w:color w:val="353535"/>
          <w:sz w:val="21"/>
          <w:szCs w:val="21"/>
        </w:rPr>
        <w:t>4ª etapa.</w:t>
      </w:r>
      <w:r w:rsidR="00994F96">
        <w:rPr>
          <w:color w:val="353535"/>
          <w:sz w:val="21"/>
          <w:szCs w:val="21"/>
        </w:rPr>
        <w:t xml:space="preserve"> La COMISIÓN contactará a los postulantes que sea necesario </w:t>
      </w:r>
      <w:r w:rsidR="00994F96" w:rsidRPr="00C1736B">
        <w:rPr>
          <w:color w:val="353535"/>
          <w:sz w:val="21"/>
          <w:szCs w:val="21"/>
        </w:rPr>
        <w:t>y se les indicará cómo proseguir</w:t>
      </w:r>
    </w:p>
    <w:p w14:paraId="011DBDF7" w14:textId="77777777" w:rsidR="009C42D6" w:rsidRDefault="007D4250">
      <w:pPr>
        <w:spacing w:after="160"/>
        <w:jc w:val="both"/>
        <w:rPr>
          <w:color w:val="353535"/>
          <w:sz w:val="21"/>
          <w:szCs w:val="21"/>
        </w:rPr>
      </w:pPr>
      <w:r>
        <w:rPr>
          <w:color w:val="353535"/>
          <w:sz w:val="21"/>
          <w:szCs w:val="21"/>
        </w:rPr>
        <w:t>5</w:t>
      </w:r>
      <w:r w:rsidR="00994F96">
        <w:rPr>
          <w:color w:val="353535"/>
          <w:sz w:val="21"/>
          <w:szCs w:val="21"/>
        </w:rPr>
        <w:t>ª etapa. Comunicación de preseleccionados por correo electrónico a todos los postulantes.</w:t>
      </w:r>
    </w:p>
    <w:p w14:paraId="6D0D672C" w14:textId="77777777" w:rsidR="009C42D6" w:rsidRPr="00C1736B" w:rsidRDefault="007D4250">
      <w:pPr>
        <w:spacing w:after="160"/>
        <w:jc w:val="both"/>
        <w:rPr>
          <w:color w:val="353535"/>
          <w:sz w:val="21"/>
          <w:szCs w:val="21"/>
        </w:rPr>
      </w:pPr>
      <w:r>
        <w:rPr>
          <w:color w:val="353535"/>
          <w:sz w:val="21"/>
          <w:szCs w:val="21"/>
        </w:rPr>
        <w:t>6</w:t>
      </w:r>
      <w:r w:rsidR="00994F96">
        <w:rPr>
          <w:color w:val="353535"/>
          <w:sz w:val="21"/>
          <w:szCs w:val="21"/>
        </w:rPr>
        <w:t xml:space="preserve">ª etapa. Entrevistas individuales. Los postulantes preseleccionados que hayan sido seleccionados de ser necesario serán convocados </w:t>
      </w:r>
      <w:r w:rsidR="00994F96" w:rsidRPr="00C1736B">
        <w:rPr>
          <w:color w:val="353535"/>
          <w:sz w:val="21"/>
          <w:szCs w:val="21"/>
        </w:rPr>
        <w:t>a una entrevista individual (por Skype o teléfono).</w:t>
      </w:r>
    </w:p>
    <w:p w14:paraId="363BF6E7" w14:textId="77777777" w:rsidR="009C42D6" w:rsidRDefault="007D4250">
      <w:pPr>
        <w:spacing w:after="160"/>
        <w:jc w:val="both"/>
      </w:pPr>
      <w:r>
        <w:rPr>
          <w:color w:val="353535"/>
          <w:sz w:val="21"/>
          <w:szCs w:val="21"/>
        </w:rPr>
        <w:t>7</w:t>
      </w:r>
      <w:r w:rsidR="00994F96" w:rsidRPr="00C1736B">
        <w:rPr>
          <w:color w:val="353535"/>
          <w:sz w:val="21"/>
          <w:szCs w:val="21"/>
        </w:rPr>
        <w:t>ª etapa. Publicación en internet del acta de selección de becarios, indicando el nombre y apellido del responsable del Comité de Evaluación que hará el monitoreo</w:t>
      </w:r>
    </w:p>
    <w:p w14:paraId="357BBAEF" w14:textId="77777777" w:rsidR="009C42D6" w:rsidRDefault="00994F96">
      <w:pPr>
        <w:spacing w:after="160"/>
        <w:jc w:val="both"/>
        <w:rPr>
          <w:color w:val="353535"/>
          <w:sz w:val="21"/>
          <w:szCs w:val="21"/>
        </w:rPr>
      </w:pPr>
      <w:r>
        <w:rPr>
          <w:color w:val="353535"/>
          <w:sz w:val="21"/>
          <w:szCs w:val="21"/>
        </w:rPr>
        <w:t>Como resultado de las entrevistas, el Comité elaborará un acta de elevación de postulantes a JICA. La comunicación de los resultados a todos los postulantes se hará vía correo electrónico y públicamente en las respectivas páginas.</w:t>
      </w:r>
    </w:p>
    <w:p w14:paraId="66BF3372" w14:textId="77777777" w:rsidR="009C42D6" w:rsidRDefault="00994F96">
      <w:pPr>
        <w:pStyle w:val="ListParagraph"/>
        <w:numPr>
          <w:ilvl w:val="0"/>
          <w:numId w:val="4"/>
        </w:numPr>
        <w:spacing w:after="160"/>
        <w:ind w:left="426"/>
        <w:jc w:val="both"/>
        <w:rPr>
          <w:b/>
          <w:color w:val="353535"/>
          <w:sz w:val="21"/>
          <w:szCs w:val="21"/>
        </w:rPr>
      </w:pPr>
      <w:r>
        <w:rPr>
          <w:b/>
          <w:color w:val="353535"/>
          <w:sz w:val="21"/>
          <w:szCs w:val="21"/>
        </w:rPr>
        <w:t>ÁREAS DE INTERÉS</w:t>
      </w:r>
    </w:p>
    <w:p w14:paraId="50258756" w14:textId="77777777" w:rsidR="009C42D6" w:rsidRDefault="00994F96">
      <w:pPr>
        <w:numPr>
          <w:ilvl w:val="0"/>
          <w:numId w:val="1"/>
        </w:numPr>
        <w:jc w:val="both"/>
      </w:pPr>
      <w:r>
        <w:rPr>
          <w:color w:val="353535"/>
          <w:sz w:val="21"/>
          <w:szCs w:val="21"/>
        </w:rPr>
        <w:t>Los responsables de Proyectos deben ser ex Becarios de la Agencia de Cooperación Internacional del Japón (JICA) que hayan participado de las distintas modalidades de cooperación técnica, tales como, el Programa de capacitación (en Japón y en terceros países), Proyectos de cooperación técnica y Estudios para el desarrollo.</w:t>
      </w:r>
    </w:p>
    <w:p w14:paraId="4AC5CFCC" w14:textId="77777777" w:rsidR="009C42D6" w:rsidRDefault="00994F96">
      <w:pPr>
        <w:numPr>
          <w:ilvl w:val="0"/>
          <w:numId w:val="1"/>
        </w:numPr>
        <w:jc w:val="both"/>
      </w:pPr>
      <w:r>
        <w:rPr>
          <w:color w:val="353535"/>
          <w:sz w:val="21"/>
          <w:szCs w:val="21"/>
        </w:rPr>
        <w:t>Las áreas prioritarias son</w:t>
      </w:r>
    </w:p>
    <w:p w14:paraId="21C1B1FB" w14:textId="77777777" w:rsidR="009C42D6" w:rsidRDefault="009C42D6">
      <w:pPr>
        <w:ind w:left="1440"/>
        <w:jc w:val="both"/>
      </w:pPr>
    </w:p>
    <w:p w14:paraId="1ED5C11A" w14:textId="77777777" w:rsidR="009C42D6" w:rsidRPr="00C1736B" w:rsidRDefault="00EF793B">
      <w:pPr>
        <w:numPr>
          <w:ilvl w:val="1"/>
          <w:numId w:val="5"/>
        </w:numPr>
        <w:jc w:val="both"/>
      </w:pPr>
      <w:r w:rsidRPr="00C1736B">
        <w:rPr>
          <w:color w:val="000000"/>
          <w:sz w:val="21"/>
          <w:szCs w:val="21"/>
        </w:rPr>
        <w:t xml:space="preserve">Desarrollo de pequeñas y medianas empresas / </w:t>
      </w:r>
      <w:r>
        <w:rPr>
          <w:color w:val="000000"/>
          <w:sz w:val="21"/>
          <w:szCs w:val="21"/>
        </w:rPr>
        <w:t>D</w:t>
      </w:r>
      <w:r w:rsidRPr="00C1736B">
        <w:rPr>
          <w:color w:val="000000"/>
          <w:sz w:val="21"/>
          <w:szCs w:val="21"/>
        </w:rPr>
        <w:t xml:space="preserve">esarrollo de áreas de rurales </w:t>
      </w:r>
      <w:r w:rsidR="00994F96" w:rsidRPr="00C1736B">
        <w:rPr>
          <w:color w:val="000000"/>
          <w:sz w:val="21"/>
          <w:szCs w:val="21"/>
        </w:rPr>
        <w:t xml:space="preserve">/ Tratamiento de aguas residuales </w:t>
      </w:r>
    </w:p>
    <w:p w14:paraId="095DD0E6" w14:textId="77777777" w:rsidR="009C42D6" w:rsidRPr="00C1736B" w:rsidRDefault="00994F96">
      <w:pPr>
        <w:numPr>
          <w:ilvl w:val="1"/>
          <w:numId w:val="5"/>
        </w:numPr>
        <w:jc w:val="both"/>
      </w:pPr>
      <w:r w:rsidRPr="00C1736B">
        <w:rPr>
          <w:color w:val="353535"/>
          <w:sz w:val="21"/>
          <w:szCs w:val="21"/>
        </w:rPr>
        <w:t>OVOP</w:t>
      </w:r>
    </w:p>
    <w:p w14:paraId="6F23C1D9" w14:textId="77777777" w:rsidR="009C42D6" w:rsidRPr="00EF793B" w:rsidRDefault="00994F96">
      <w:pPr>
        <w:numPr>
          <w:ilvl w:val="1"/>
          <w:numId w:val="5"/>
        </w:numPr>
        <w:jc w:val="both"/>
        <w:rPr>
          <w:color w:val="353535"/>
          <w:sz w:val="21"/>
          <w:szCs w:val="21"/>
        </w:rPr>
      </w:pPr>
      <w:r>
        <w:rPr>
          <w:color w:val="353535"/>
          <w:sz w:val="21"/>
          <w:szCs w:val="21"/>
        </w:rPr>
        <w:t>Discapacidad</w:t>
      </w:r>
    </w:p>
    <w:p w14:paraId="49D087CF" w14:textId="77777777" w:rsidR="00EF793B" w:rsidRDefault="00994F96" w:rsidP="00EF793B">
      <w:pPr>
        <w:numPr>
          <w:ilvl w:val="1"/>
          <w:numId w:val="5"/>
        </w:numPr>
        <w:jc w:val="both"/>
        <w:rPr>
          <w:color w:val="353535"/>
          <w:sz w:val="21"/>
          <w:szCs w:val="21"/>
        </w:rPr>
      </w:pPr>
      <w:r>
        <w:rPr>
          <w:color w:val="353535"/>
          <w:sz w:val="21"/>
          <w:szCs w:val="21"/>
        </w:rPr>
        <w:t>Preservación del Ambiente y sustentabilidad</w:t>
      </w:r>
    </w:p>
    <w:p w14:paraId="5FF6F247" w14:textId="7A571C86" w:rsidR="00FE6F0F" w:rsidRDefault="00FE6F0F" w:rsidP="00EF793B">
      <w:pPr>
        <w:numPr>
          <w:ilvl w:val="1"/>
          <w:numId w:val="5"/>
        </w:numPr>
        <w:jc w:val="both"/>
        <w:rPr>
          <w:color w:val="353535"/>
          <w:sz w:val="21"/>
          <w:szCs w:val="21"/>
        </w:rPr>
      </w:pPr>
      <w:r w:rsidRPr="00202401">
        <w:rPr>
          <w:color w:val="353535"/>
          <w:sz w:val="21"/>
          <w:szCs w:val="21"/>
        </w:rPr>
        <w:t xml:space="preserve">COVID-19. </w:t>
      </w:r>
      <w:proofErr w:type="spellStart"/>
      <w:r w:rsidRPr="00202401">
        <w:rPr>
          <w:color w:val="353535"/>
          <w:sz w:val="21"/>
          <w:szCs w:val="21"/>
        </w:rPr>
        <w:t>Post-pandemia</w:t>
      </w:r>
      <w:proofErr w:type="spellEnd"/>
      <w:r w:rsidRPr="00202401">
        <w:rPr>
          <w:color w:val="353535"/>
          <w:sz w:val="21"/>
          <w:szCs w:val="21"/>
        </w:rPr>
        <w:t xml:space="preserve"> </w:t>
      </w:r>
      <w:r w:rsidR="006231CA" w:rsidRPr="00202401">
        <w:rPr>
          <w:color w:val="353535"/>
          <w:sz w:val="21"/>
          <w:szCs w:val="21"/>
        </w:rPr>
        <w:t>de coronavirus</w:t>
      </w:r>
    </w:p>
    <w:p w14:paraId="7AEE39B0" w14:textId="534A7782" w:rsidR="00202401" w:rsidRDefault="00202401" w:rsidP="00EF793B">
      <w:pPr>
        <w:numPr>
          <w:ilvl w:val="1"/>
          <w:numId w:val="5"/>
        </w:numPr>
        <w:jc w:val="both"/>
        <w:rPr>
          <w:color w:val="353535"/>
          <w:sz w:val="21"/>
          <w:szCs w:val="21"/>
        </w:rPr>
      </w:pPr>
      <w:r>
        <w:rPr>
          <w:color w:val="353535"/>
          <w:sz w:val="21"/>
          <w:szCs w:val="21"/>
        </w:rPr>
        <w:t>Robótica</w:t>
      </w:r>
    </w:p>
    <w:p w14:paraId="4B8ABBA6" w14:textId="2BA123F6" w:rsidR="00202401" w:rsidRPr="00202401" w:rsidRDefault="00202401" w:rsidP="00EF793B">
      <w:pPr>
        <w:numPr>
          <w:ilvl w:val="1"/>
          <w:numId w:val="5"/>
        </w:numPr>
        <w:jc w:val="both"/>
        <w:rPr>
          <w:color w:val="353535"/>
          <w:sz w:val="21"/>
          <w:szCs w:val="21"/>
        </w:rPr>
      </w:pPr>
      <w:r>
        <w:rPr>
          <w:color w:val="353535"/>
          <w:sz w:val="21"/>
          <w:szCs w:val="21"/>
        </w:rPr>
        <w:t>Ciudades, innovación y gobiernos locales</w:t>
      </w:r>
    </w:p>
    <w:p w14:paraId="1FB98515" w14:textId="77777777" w:rsidR="00EF793B" w:rsidRPr="00EF793B" w:rsidRDefault="00EF793B" w:rsidP="00EF793B">
      <w:pPr>
        <w:numPr>
          <w:ilvl w:val="1"/>
          <w:numId w:val="5"/>
        </w:numPr>
        <w:jc w:val="both"/>
        <w:rPr>
          <w:color w:val="353535"/>
          <w:sz w:val="21"/>
          <w:szCs w:val="21"/>
        </w:rPr>
      </w:pPr>
      <w:r w:rsidRPr="00EF793B">
        <w:rPr>
          <w:color w:val="353535"/>
          <w:sz w:val="21"/>
          <w:szCs w:val="21"/>
        </w:rPr>
        <w:t xml:space="preserve">Otras áreas correspondientes a su </w:t>
      </w:r>
      <w:proofErr w:type="spellStart"/>
      <w:r w:rsidRPr="00EF793B">
        <w:rPr>
          <w:color w:val="353535"/>
          <w:sz w:val="21"/>
          <w:szCs w:val="21"/>
        </w:rPr>
        <w:t>expertise</w:t>
      </w:r>
      <w:proofErr w:type="spellEnd"/>
    </w:p>
    <w:p w14:paraId="2B3330B3" w14:textId="77777777" w:rsidR="009C42D6" w:rsidRDefault="009C42D6">
      <w:pPr>
        <w:spacing w:after="160"/>
        <w:jc w:val="both"/>
        <w:rPr>
          <w:color w:val="353535"/>
          <w:sz w:val="21"/>
          <w:szCs w:val="21"/>
        </w:rPr>
      </w:pPr>
    </w:p>
    <w:p w14:paraId="65E01419" w14:textId="77777777" w:rsidR="009C42D6" w:rsidRDefault="00994F96">
      <w:pPr>
        <w:pStyle w:val="ListParagraph"/>
        <w:numPr>
          <w:ilvl w:val="0"/>
          <w:numId w:val="4"/>
        </w:numPr>
        <w:spacing w:after="160"/>
        <w:ind w:left="426"/>
        <w:jc w:val="both"/>
        <w:rPr>
          <w:b/>
          <w:color w:val="353535"/>
          <w:sz w:val="21"/>
          <w:szCs w:val="21"/>
        </w:rPr>
      </w:pPr>
      <w:r>
        <w:rPr>
          <w:b/>
          <w:color w:val="353535"/>
          <w:sz w:val="21"/>
          <w:szCs w:val="21"/>
        </w:rPr>
        <w:t>CÓMO POSTULAR</w:t>
      </w:r>
    </w:p>
    <w:p w14:paraId="606FF173" w14:textId="040097FD" w:rsidR="009C42D6" w:rsidRPr="00202401" w:rsidRDefault="00994F96">
      <w:pPr>
        <w:numPr>
          <w:ilvl w:val="0"/>
          <w:numId w:val="2"/>
        </w:numPr>
        <w:spacing w:line="408" w:lineRule="auto"/>
        <w:jc w:val="both"/>
      </w:pPr>
      <w:r w:rsidRPr="00202401">
        <w:rPr>
          <w:color w:val="353535"/>
          <w:sz w:val="21"/>
          <w:szCs w:val="21"/>
        </w:rPr>
        <w:t>INSCRIPCIÓN POR INTERNE</w:t>
      </w:r>
      <w:r w:rsidR="00C1736B" w:rsidRPr="00202401">
        <w:rPr>
          <w:color w:val="353535"/>
          <w:sz w:val="21"/>
          <w:szCs w:val="21"/>
        </w:rPr>
        <w:t xml:space="preserve">T: Hasta el </w:t>
      </w:r>
      <w:r w:rsidR="00202401" w:rsidRPr="00202401">
        <w:rPr>
          <w:color w:val="353535"/>
          <w:sz w:val="21"/>
          <w:szCs w:val="21"/>
        </w:rPr>
        <w:t>28</w:t>
      </w:r>
      <w:r w:rsidRPr="00202401">
        <w:rPr>
          <w:color w:val="353535"/>
          <w:sz w:val="21"/>
          <w:szCs w:val="21"/>
        </w:rPr>
        <w:t xml:space="preserve"> de </w:t>
      </w:r>
      <w:r w:rsidR="00202401" w:rsidRPr="00202401">
        <w:rPr>
          <w:color w:val="353535"/>
          <w:sz w:val="21"/>
          <w:szCs w:val="21"/>
        </w:rPr>
        <w:t>diciembre</w:t>
      </w:r>
      <w:r w:rsidRPr="00202401">
        <w:rPr>
          <w:color w:val="353535"/>
          <w:sz w:val="21"/>
          <w:szCs w:val="21"/>
        </w:rPr>
        <w:t xml:space="preserve"> de 2020 inclusive, todos los interesados deberán inscribirse por internet para participar de la convocatoria.</w:t>
      </w:r>
    </w:p>
    <w:p w14:paraId="418EB7F9" w14:textId="1F0AF196" w:rsidR="009C42D6" w:rsidRDefault="00994F96">
      <w:pPr>
        <w:numPr>
          <w:ilvl w:val="0"/>
          <w:numId w:val="2"/>
        </w:numPr>
        <w:spacing w:line="408" w:lineRule="auto"/>
        <w:jc w:val="both"/>
      </w:pPr>
      <w:r w:rsidRPr="00202401">
        <w:rPr>
          <w:color w:val="353535"/>
          <w:sz w:val="21"/>
          <w:szCs w:val="21"/>
        </w:rPr>
        <w:t xml:space="preserve">SOLICITUD DIGITAL: Hasta el </w:t>
      </w:r>
      <w:r w:rsidR="00C1736B" w:rsidRPr="00202401">
        <w:rPr>
          <w:color w:val="353535"/>
          <w:sz w:val="21"/>
          <w:szCs w:val="21"/>
        </w:rPr>
        <w:t>20</w:t>
      </w:r>
      <w:r w:rsidRPr="00202401">
        <w:rPr>
          <w:color w:val="353535"/>
          <w:sz w:val="21"/>
          <w:szCs w:val="21"/>
        </w:rPr>
        <w:t xml:space="preserve"> de</w:t>
      </w:r>
      <w:r w:rsidR="00202401" w:rsidRPr="00202401">
        <w:rPr>
          <w:color w:val="353535"/>
          <w:sz w:val="21"/>
          <w:szCs w:val="21"/>
        </w:rPr>
        <w:t xml:space="preserve"> diciembre</w:t>
      </w:r>
      <w:r w:rsidR="00C1736B" w:rsidRPr="00202401">
        <w:rPr>
          <w:color w:val="353535"/>
          <w:sz w:val="21"/>
          <w:szCs w:val="21"/>
        </w:rPr>
        <w:t xml:space="preserve"> </w:t>
      </w:r>
      <w:r w:rsidRPr="00202401">
        <w:rPr>
          <w:color w:val="353535"/>
          <w:sz w:val="21"/>
          <w:szCs w:val="21"/>
        </w:rPr>
        <w:t>de 2020 inclusive</w:t>
      </w:r>
      <w:r>
        <w:rPr>
          <w:color w:val="353535"/>
          <w:sz w:val="21"/>
          <w:szCs w:val="21"/>
        </w:rPr>
        <w:t>, cada postulante debe enviar escaneada por correo electrónico la siguiente documentación:</w:t>
      </w:r>
    </w:p>
    <w:p w14:paraId="1B349437" w14:textId="77777777" w:rsidR="009C42D6" w:rsidRDefault="00994F96">
      <w:pPr>
        <w:numPr>
          <w:ilvl w:val="1"/>
          <w:numId w:val="2"/>
        </w:numPr>
        <w:spacing w:line="408" w:lineRule="auto"/>
        <w:jc w:val="both"/>
        <w:rPr>
          <w:color w:val="353535"/>
          <w:sz w:val="21"/>
          <w:szCs w:val="21"/>
        </w:rPr>
      </w:pPr>
      <w:r>
        <w:rPr>
          <w:color w:val="353535"/>
          <w:sz w:val="21"/>
          <w:szCs w:val="21"/>
        </w:rPr>
        <w:t xml:space="preserve">1. Proyecto - </w:t>
      </w:r>
      <w:r>
        <w:rPr>
          <w:b/>
          <w:color w:val="353535"/>
          <w:sz w:val="21"/>
          <w:szCs w:val="21"/>
        </w:rPr>
        <w:t xml:space="preserve">Formulario para la presentación de Proyectos ABJA </w:t>
      </w:r>
    </w:p>
    <w:p w14:paraId="4B26C3C4" w14:textId="77777777" w:rsidR="009C42D6" w:rsidRPr="00C1736B" w:rsidRDefault="00994F96">
      <w:pPr>
        <w:numPr>
          <w:ilvl w:val="1"/>
          <w:numId w:val="2"/>
        </w:numPr>
        <w:spacing w:line="408" w:lineRule="auto"/>
        <w:jc w:val="both"/>
      </w:pPr>
      <w:r>
        <w:rPr>
          <w:color w:val="353535"/>
          <w:sz w:val="21"/>
          <w:szCs w:val="21"/>
        </w:rPr>
        <w:t xml:space="preserve">2. Documento </w:t>
      </w:r>
      <w:r w:rsidRPr="00C1736B">
        <w:rPr>
          <w:color w:val="353535"/>
          <w:sz w:val="21"/>
          <w:szCs w:val="21"/>
        </w:rPr>
        <w:t>Nacional de Identidad.</w:t>
      </w:r>
    </w:p>
    <w:p w14:paraId="2931227A" w14:textId="77777777" w:rsidR="009C42D6" w:rsidRPr="00C1736B" w:rsidRDefault="00994F96">
      <w:pPr>
        <w:numPr>
          <w:ilvl w:val="1"/>
          <w:numId w:val="2"/>
        </w:numPr>
        <w:spacing w:line="408" w:lineRule="auto"/>
        <w:jc w:val="both"/>
      </w:pPr>
      <w:r w:rsidRPr="00C1736B">
        <w:rPr>
          <w:color w:val="353535"/>
          <w:sz w:val="21"/>
          <w:szCs w:val="21"/>
        </w:rPr>
        <w:t>3. Acreditar desempeño en un organismo del estado, en una universidad u otra institución académica y/o científica.</w:t>
      </w:r>
    </w:p>
    <w:p w14:paraId="5D0467DA" w14:textId="77777777" w:rsidR="00C1736B" w:rsidRPr="00202401" w:rsidRDefault="00C1736B">
      <w:pPr>
        <w:numPr>
          <w:ilvl w:val="1"/>
          <w:numId w:val="2"/>
        </w:numPr>
        <w:spacing w:line="408" w:lineRule="auto"/>
        <w:jc w:val="both"/>
      </w:pPr>
      <w:r w:rsidRPr="00202401">
        <w:rPr>
          <w:color w:val="353535"/>
          <w:sz w:val="21"/>
          <w:szCs w:val="21"/>
        </w:rPr>
        <w:lastRenderedPageBreak/>
        <w:t xml:space="preserve">4. </w:t>
      </w:r>
      <w:r w:rsidR="005E5820" w:rsidRPr="00202401">
        <w:rPr>
          <w:color w:val="353535"/>
          <w:sz w:val="21"/>
          <w:szCs w:val="21"/>
        </w:rPr>
        <w:t xml:space="preserve">Redar y enviar una </w:t>
      </w:r>
      <w:r w:rsidRPr="00202401">
        <w:rPr>
          <w:color w:val="353535"/>
          <w:sz w:val="21"/>
          <w:szCs w:val="21"/>
        </w:rPr>
        <w:t xml:space="preserve">Carta Compromiso de presentación de un informe final </w:t>
      </w:r>
      <w:r w:rsidR="005E5820" w:rsidRPr="00202401">
        <w:rPr>
          <w:color w:val="353535"/>
          <w:sz w:val="21"/>
          <w:szCs w:val="21"/>
        </w:rPr>
        <w:t>de</w:t>
      </w:r>
      <w:r w:rsidRPr="00202401">
        <w:rPr>
          <w:color w:val="353535"/>
          <w:sz w:val="21"/>
          <w:szCs w:val="21"/>
        </w:rPr>
        <w:t xml:space="preserve"> la beca y la realización de una presentac</w:t>
      </w:r>
      <w:r w:rsidR="005E5820" w:rsidRPr="00202401">
        <w:rPr>
          <w:color w:val="353535"/>
          <w:sz w:val="21"/>
          <w:szCs w:val="21"/>
        </w:rPr>
        <w:t>ión de sus resultados: conversa</w:t>
      </w:r>
      <w:r w:rsidRPr="00202401">
        <w:rPr>
          <w:color w:val="353535"/>
          <w:sz w:val="21"/>
          <w:szCs w:val="21"/>
        </w:rPr>
        <w:t>torio,</w:t>
      </w:r>
      <w:r w:rsidR="005E5820" w:rsidRPr="00202401">
        <w:rPr>
          <w:color w:val="353535"/>
          <w:sz w:val="21"/>
          <w:szCs w:val="21"/>
        </w:rPr>
        <w:t xml:space="preserve"> reunión, etc.</w:t>
      </w:r>
      <w:r w:rsidRPr="00202401">
        <w:rPr>
          <w:color w:val="353535"/>
          <w:sz w:val="21"/>
          <w:szCs w:val="21"/>
        </w:rPr>
        <w:t xml:space="preserve"> </w:t>
      </w:r>
    </w:p>
    <w:p w14:paraId="0D11059E" w14:textId="77777777" w:rsidR="009C42D6" w:rsidRPr="00C1736B" w:rsidRDefault="00994F96">
      <w:pPr>
        <w:spacing w:line="408" w:lineRule="auto"/>
        <w:jc w:val="both"/>
      </w:pPr>
      <w:r w:rsidRPr="00C1736B">
        <w:rPr>
          <w:color w:val="353535"/>
          <w:sz w:val="21"/>
          <w:szCs w:val="21"/>
        </w:rPr>
        <w:t>Los postulantes cuyos proyectos fueron seleccionados deben enviar escaneada por correo electrónico la siguiente documentación:</w:t>
      </w:r>
    </w:p>
    <w:p w14:paraId="611135B2" w14:textId="77777777" w:rsidR="00EF4B74" w:rsidRDefault="00EF4B74" w:rsidP="00EF4B74">
      <w:pPr>
        <w:numPr>
          <w:ilvl w:val="1"/>
          <w:numId w:val="9"/>
        </w:numPr>
        <w:spacing w:after="300" w:line="408" w:lineRule="auto"/>
        <w:jc w:val="both"/>
        <w:rPr>
          <w:highlight w:val="white"/>
        </w:rPr>
      </w:pPr>
      <w:r>
        <w:rPr>
          <w:b/>
          <w:color w:val="353535"/>
          <w:sz w:val="21"/>
          <w:szCs w:val="21"/>
          <w:highlight w:val="white"/>
        </w:rPr>
        <w:t xml:space="preserve">Antes: Carta Acuerdo - Proyectos 2020 firmada </w:t>
      </w:r>
      <w:r>
        <w:rPr>
          <w:color w:val="353535"/>
          <w:sz w:val="21"/>
          <w:szCs w:val="21"/>
          <w:highlight w:val="white"/>
        </w:rPr>
        <w:t>dirigidas a la Comisión Directiva de ABJA. Sólo cuando su proyecto fue seleccionado</w:t>
      </w:r>
    </w:p>
    <w:p w14:paraId="6C45C973" w14:textId="77777777" w:rsidR="00EF4B74" w:rsidRDefault="00EF4B74" w:rsidP="00EF4B74">
      <w:pPr>
        <w:numPr>
          <w:ilvl w:val="1"/>
          <w:numId w:val="9"/>
        </w:numPr>
        <w:spacing w:after="300" w:line="408" w:lineRule="auto"/>
        <w:jc w:val="both"/>
        <w:rPr>
          <w:highlight w:val="white"/>
        </w:rPr>
      </w:pPr>
      <w:r w:rsidRPr="00EF4B74">
        <w:rPr>
          <w:b/>
          <w:color w:val="353535"/>
          <w:sz w:val="21"/>
          <w:szCs w:val="21"/>
          <w:highlight w:val="white"/>
        </w:rPr>
        <w:t>Durante</w:t>
      </w:r>
      <w:r>
        <w:rPr>
          <w:b/>
          <w:color w:val="353535"/>
          <w:sz w:val="21"/>
          <w:szCs w:val="21"/>
          <w:highlight w:val="white"/>
        </w:rPr>
        <w:t xml:space="preserve"> la realización del proyecto</w:t>
      </w:r>
      <w:r w:rsidRPr="00EF4B74">
        <w:rPr>
          <w:b/>
          <w:color w:val="353535"/>
          <w:sz w:val="21"/>
          <w:szCs w:val="21"/>
          <w:highlight w:val="white"/>
        </w:rPr>
        <w:t>:</w:t>
      </w:r>
      <w:r>
        <w:rPr>
          <w:color w:val="353535"/>
          <w:sz w:val="21"/>
          <w:szCs w:val="21"/>
          <w:highlight w:val="white"/>
        </w:rPr>
        <w:t xml:space="preserve"> a cada proyecto se le asignará un responsable del Comité de Evaluación de ABJA para apoyo y seguimiento del mismo </w:t>
      </w:r>
    </w:p>
    <w:p w14:paraId="4C4E2E2C" w14:textId="77777777" w:rsidR="00EF4B74" w:rsidRDefault="00EF4B74" w:rsidP="00EF4B74">
      <w:pPr>
        <w:numPr>
          <w:ilvl w:val="1"/>
          <w:numId w:val="9"/>
        </w:numPr>
        <w:spacing w:after="300" w:line="408" w:lineRule="auto"/>
        <w:jc w:val="both"/>
      </w:pPr>
      <w:r w:rsidRPr="00EF4B74">
        <w:rPr>
          <w:b/>
          <w:color w:val="353535"/>
          <w:sz w:val="21"/>
          <w:szCs w:val="21"/>
          <w:highlight w:val="white"/>
        </w:rPr>
        <w:t>Finalización</w:t>
      </w:r>
      <w:r>
        <w:rPr>
          <w:b/>
          <w:color w:val="353535"/>
          <w:sz w:val="21"/>
          <w:szCs w:val="21"/>
          <w:highlight w:val="white"/>
        </w:rPr>
        <w:t xml:space="preserve"> de la beca</w:t>
      </w:r>
      <w:r w:rsidRPr="00EF4B74">
        <w:rPr>
          <w:b/>
          <w:color w:val="353535"/>
          <w:sz w:val="21"/>
          <w:szCs w:val="21"/>
          <w:highlight w:val="white"/>
        </w:rPr>
        <w:t>:</w:t>
      </w:r>
      <w:r>
        <w:rPr>
          <w:color w:val="353535"/>
          <w:sz w:val="21"/>
          <w:szCs w:val="21"/>
          <w:highlight w:val="white"/>
        </w:rPr>
        <w:t xml:space="preserve"> Envío de un informe final con los resultados alcanzados y comunicar fecha y lugar de realización de una reunión/charla/exposición para difusión del proyecto realizado.</w:t>
      </w:r>
    </w:p>
    <w:p w14:paraId="6E4E2F50" w14:textId="77777777" w:rsidR="00EF4B74" w:rsidRPr="00C1736B" w:rsidRDefault="00EF4B74" w:rsidP="00EF4B74">
      <w:pPr>
        <w:spacing w:after="300" w:line="408" w:lineRule="auto"/>
        <w:ind w:left="1440"/>
        <w:jc w:val="both"/>
      </w:pPr>
    </w:p>
    <w:sectPr w:rsidR="00EF4B74" w:rsidRPr="00C1736B">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charset w:val="02"/>
    <w:family w:val="decorative"/>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2269B"/>
    <w:multiLevelType w:val="multilevel"/>
    <w:tmpl w:val="9D044BA0"/>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sz w:val="21"/>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31C05F00"/>
    <w:multiLevelType w:val="multilevel"/>
    <w:tmpl w:val="790C53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FC4581"/>
    <w:multiLevelType w:val="multilevel"/>
    <w:tmpl w:val="579C7F0A"/>
    <w:lvl w:ilvl="0">
      <w:start w:val="1"/>
      <w:numFmt w:val="decimal"/>
      <w:lvlText w:val="%1."/>
      <w:lvlJc w:val="left"/>
      <w:pPr>
        <w:tabs>
          <w:tab w:val="num" w:pos="2218"/>
        </w:tabs>
        <w:ind w:left="2218" w:hanging="360"/>
      </w:pPr>
    </w:lvl>
    <w:lvl w:ilvl="1">
      <w:start w:val="1"/>
      <w:numFmt w:val="decimal"/>
      <w:lvlText w:val="%2."/>
      <w:lvlJc w:val="left"/>
      <w:pPr>
        <w:tabs>
          <w:tab w:val="num" w:pos="2578"/>
        </w:tabs>
        <w:ind w:left="2578" w:hanging="360"/>
      </w:pPr>
    </w:lvl>
    <w:lvl w:ilvl="2">
      <w:start w:val="1"/>
      <w:numFmt w:val="decimal"/>
      <w:lvlText w:val="%3."/>
      <w:lvlJc w:val="left"/>
      <w:pPr>
        <w:tabs>
          <w:tab w:val="num" w:pos="2938"/>
        </w:tabs>
        <w:ind w:left="2938" w:hanging="360"/>
      </w:pPr>
    </w:lvl>
    <w:lvl w:ilvl="3">
      <w:start w:val="1"/>
      <w:numFmt w:val="decimal"/>
      <w:lvlText w:val="%4."/>
      <w:lvlJc w:val="left"/>
      <w:pPr>
        <w:tabs>
          <w:tab w:val="num" w:pos="3298"/>
        </w:tabs>
        <w:ind w:left="3298" w:hanging="360"/>
      </w:pPr>
    </w:lvl>
    <w:lvl w:ilvl="4">
      <w:start w:val="1"/>
      <w:numFmt w:val="decimal"/>
      <w:lvlText w:val="%5."/>
      <w:lvlJc w:val="left"/>
      <w:pPr>
        <w:tabs>
          <w:tab w:val="num" w:pos="3658"/>
        </w:tabs>
        <w:ind w:left="3658" w:hanging="360"/>
      </w:pPr>
    </w:lvl>
    <w:lvl w:ilvl="5">
      <w:start w:val="1"/>
      <w:numFmt w:val="decimal"/>
      <w:lvlText w:val="%6."/>
      <w:lvlJc w:val="left"/>
      <w:pPr>
        <w:tabs>
          <w:tab w:val="num" w:pos="4018"/>
        </w:tabs>
        <w:ind w:left="4018" w:hanging="360"/>
      </w:pPr>
    </w:lvl>
    <w:lvl w:ilvl="6">
      <w:start w:val="1"/>
      <w:numFmt w:val="decimal"/>
      <w:lvlText w:val="%7."/>
      <w:lvlJc w:val="left"/>
      <w:pPr>
        <w:tabs>
          <w:tab w:val="num" w:pos="4378"/>
        </w:tabs>
        <w:ind w:left="4378" w:hanging="360"/>
      </w:pPr>
    </w:lvl>
    <w:lvl w:ilvl="7">
      <w:start w:val="1"/>
      <w:numFmt w:val="decimal"/>
      <w:lvlText w:val="%8."/>
      <w:lvlJc w:val="left"/>
      <w:pPr>
        <w:tabs>
          <w:tab w:val="num" w:pos="4738"/>
        </w:tabs>
        <w:ind w:left="4738" w:hanging="360"/>
      </w:pPr>
    </w:lvl>
    <w:lvl w:ilvl="8">
      <w:start w:val="1"/>
      <w:numFmt w:val="decimal"/>
      <w:lvlText w:val="%9."/>
      <w:lvlJc w:val="left"/>
      <w:pPr>
        <w:tabs>
          <w:tab w:val="num" w:pos="5098"/>
        </w:tabs>
        <w:ind w:left="5098" w:hanging="360"/>
      </w:pPr>
    </w:lvl>
  </w:abstractNum>
  <w:abstractNum w:abstractNumId="3" w15:restartNumberingAfterBreak="0">
    <w:nsid w:val="413379B8"/>
    <w:multiLevelType w:val="multilevel"/>
    <w:tmpl w:val="CC58BF8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45394FD9"/>
    <w:multiLevelType w:val="multilevel"/>
    <w:tmpl w:val="035A084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E666FE"/>
    <w:multiLevelType w:val="multilevel"/>
    <w:tmpl w:val="F91424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703BDB"/>
    <w:multiLevelType w:val="multilevel"/>
    <w:tmpl w:val="152A48B2"/>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sz w:val="21"/>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71CC7253"/>
    <w:multiLevelType w:val="multilevel"/>
    <w:tmpl w:val="41EA0D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ECA5E31"/>
    <w:multiLevelType w:val="multilevel"/>
    <w:tmpl w:val="8304D402"/>
    <w:lvl w:ilvl="0">
      <w:start w:val="1"/>
      <w:numFmt w:val="bullet"/>
      <w:lvlText w:val="●"/>
      <w:lvlJc w:val="left"/>
      <w:pPr>
        <w:ind w:left="720" w:hanging="360"/>
      </w:pPr>
      <w:rPr>
        <w:rFonts w:ascii="Arial" w:hAnsi="Arial" w:cs="Arial" w:hint="default"/>
        <w:color w:val="353535"/>
        <w:sz w:val="21"/>
        <w:szCs w:val="21"/>
        <w:u w:val="none"/>
      </w:rPr>
    </w:lvl>
    <w:lvl w:ilvl="1">
      <w:start w:val="1"/>
      <w:numFmt w:val="bullet"/>
      <w:lvlText w:val=""/>
      <w:lvlJc w:val="left"/>
      <w:pPr>
        <w:ind w:left="1440" w:hanging="360"/>
      </w:pPr>
      <w:rPr>
        <w:rFonts w:ascii="Wingdings 2" w:hAnsi="Wingdings 2" w:cs="Wingdings 2" w:hint="default"/>
        <w:sz w:val="21"/>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8"/>
  </w:num>
  <w:num w:numId="2">
    <w:abstractNumId w:val="6"/>
  </w:num>
  <w:num w:numId="3">
    <w:abstractNumId w:val="1"/>
  </w:num>
  <w:num w:numId="4">
    <w:abstractNumId w:val="4"/>
  </w:num>
  <w:num w:numId="5">
    <w:abstractNumId w:val="3"/>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D6"/>
    <w:rsid w:val="001934E3"/>
    <w:rsid w:val="00202401"/>
    <w:rsid w:val="00487630"/>
    <w:rsid w:val="005E5820"/>
    <w:rsid w:val="006231CA"/>
    <w:rsid w:val="007D4250"/>
    <w:rsid w:val="007E72B9"/>
    <w:rsid w:val="00994F96"/>
    <w:rsid w:val="009C42D6"/>
    <w:rsid w:val="00C1736B"/>
    <w:rsid w:val="00EF4B74"/>
    <w:rsid w:val="00EF793B"/>
    <w:rsid w:val="00FE6F0F"/>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F5C3"/>
  <w15:docId w15:val="{0A8E9F20-1C7D-4051-A71B-F17742C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en-GB"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lang w:val="es-AR"/>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color w:val="353535"/>
      <w:sz w:val="21"/>
      <w:szCs w:val="21"/>
      <w:u w:val="none"/>
    </w:rPr>
  </w:style>
  <w:style w:type="character" w:customStyle="1" w:styleId="ListLabel2">
    <w:name w:val="ListLabel 2"/>
    <w:qFormat/>
    <w:rPr>
      <w:sz w:val="21"/>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sz w:val="21"/>
      <w:u w:val="none"/>
    </w:rPr>
  </w:style>
  <w:style w:type="character" w:customStyle="1" w:styleId="ListLabel11">
    <w:name w:val="ListLabel 11"/>
    <w:qFormat/>
    <w:rPr>
      <w:sz w:val="21"/>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cs="Arial"/>
      <w:color w:val="353535"/>
      <w:sz w:val="21"/>
      <w:szCs w:val="21"/>
      <w:u w:val="none"/>
    </w:rPr>
  </w:style>
  <w:style w:type="character" w:customStyle="1" w:styleId="ListLabel20">
    <w:name w:val="ListLabel 20"/>
    <w:qFormat/>
    <w:rPr>
      <w:rFonts w:cs="Wingdings 2"/>
      <w:sz w:val="21"/>
      <w:u w:val="none"/>
    </w:rPr>
  </w:style>
  <w:style w:type="character" w:customStyle="1" w:styleId="ListLabel21">
    <w:name w:val="ListLabel 21"/>
    <w:qFormat/>
    <w:rPr>
      <w:rFonts w:cs="OpenSymbol"/>
      <w:u w:val="none"/>
    </w:rPr>
  </w:style>
  <w:style w:type="character" w:customStyle="1" w:styleId="ListLabel22">
    <w:name w:val="ListLabel 22"/>
    <w:qFormat/>
    <w:rPr>
      <w:rFonts w:cs="Wingdings"/>
      <w:u w:val="none"/>
    </w:rPr>
  </w:style>
  <w:style w:type="character" w:customStyle="1" w:styleId="ListLabel23">
    <w:name w:val="ListLabel 23"/>
    <w:qFormat/>
    <w:rPr>
      <w:rFonts w:cs="Wingdings 2"/>
      <w:u w:val="none"/>
    </w:rPr>
  </w:style>
  <w:style w:type="character" w:customStyle="1" w:styleId="ListLabel24">
    <w:name w:val="ListLabel 24"/>
    <w:qFormat/>
    <w:rPr>
      <w:rFonts w:cs="OpenSymbol"/>
      <w:u w:val="none"/>
    </w:rPr>
  </w:style>
  <w:style w:type="character" w:customStyle="1" w:styleId="ListLabel25">
    <w:name w:val="ListLabel 25"/>
    <w:qFormat/>
    <w:rPr>
      <w:rFonts w:cs="Wingdings"/>
      <w:u w:val="none"/>
    </w:rPr>
  </w:style>
  <w:style w:type="character" w:customStyle="1" w:styleId="ListLabel26">
    <w:name w:val="ListLabel 26"/>
    <w:qFormat/>
    <w:rPr>
      <w:rFonts w:cs="Wingdings 2"/>
      <w:u w:val="none"/>
    </w:rPr>
  </w:style>
  <w:style w:type="character" w:customStyle="1" w:styleId="ListLabel27">
    <w:name w:val="ListLabel 27"/>
    <w:qFormat/>
    <w:rPr>
      <w:rFonts w:cs="OpenSymbol"/>
      <w:u w:val="none"/>
    </w:rPr>
  </w:style>
  <w:style w:type="character" w:customStyle="1" w:styleId="ListLabel28">
    <w:name w:val="ListLabel 28"/>
    <w:qFormat/>
    <w:rPr>
      <w:rFonts w:cs="Wingdings"/>
      <w:sz w:val="21"/>
      <w:u w:val="none"/>
    </w:rPr>
  </w:style>
  <w:style w:type="character" w:customStyle="1" w:styleId="ListLabel29">
    <w:name w:val="ListLabel 29"/>
    <w:qFormat/>
    <w:rPr>
      <w:rFonts w:cs="Wingdings 2"/>
      <w:sz w:val="21"/>
      <w:u w:val="none"/>
    </w:rPr>
  </w:style>
  <w:style w:type="character" w:customStyle="1" w:styleId="ListLabel30">
    <w:name w:val="ListLabel 30"/>
    <w:qFormat/>
    <w:rPr>
      <w:rFonts w:cs="OpenSymbol"/>
      <w:u w:val="none"/>
    </w:rPr>
  </w:style>
  <w:style w:type="character" w:customStyle="1" w:styleId="ListLabel31">
    <w:name w:val="ListLabel 31"/>
    <w:qFormat/>
    <w:rPr>
      <w:rFonts w:cs="Wingdings"/>
      <w:u w:val="none"/>
    </w:rPr>
  </w:style>
  <w:style w:type="character" w:customStyle="1" w:styleId="ListLabel32">
    <w:name w:val="ListLabel 32"/>
    <w:qFormat/>
    <w:rPr>
      <w:rFonts w:cs="Wingdings 2"/>
      <w:u w:val="none"/>
    </w:rPr>
  </w:style>
  <w:style w:type="character" w:customStyle="1" w:styleId="ListLabel33">
    <w:name w:val="ListLabel 33"/>
    <w:qFormat/>
    <w:rPr>
      <w:rFonts w:cs="OpenSymbol"/>
      <w:u w:val="none"/>
    </w:rPr>
  </w:style>
  <w:style w:type="character" w:customStyle="1" w:styleId="ListLabel34">
    <w:name w:val="ListLabel 34"/>
    <w:qFormat/>
    <w:rPr>
      <w:rFonts w:cs="Wingdings"/>
      <w:u w:val="none"/>
    </w:rPr>
  </w:style>
  <w:style w:type="character" w:customStyle="1" w:styleId="ListLabel35">
    <w:name w:val="ListLabel 35"/>
    <w:qFormat/>
    <w:rPr>
      <w:rFonts w:cs="Wingdings 2"/>
      <w:u w:val="none"/>
    </w:rPr>
  </w:style>
  <w:style w:type="character" w:customStyle="1" w:styleId="ListLabel36">
    <w:name w:val="ListLabel 36"/>
    <w:qFormat/>
    <w:rPr>
      <w:rFonts w:cs="OpenSymbol"/>
      <w:u w:val="none"/>
    </w:rPr>
  </w:style>
  <w:style w:type="character" w:customStyle="1" w:styleId="Smbolosdenumeracin">
    <w:name w:val="Símbolos de numeración"/>
    <w:qFormat/>
  </w:style>
  <w:style w:type="paragraph" w:customStyle="1" w:styleId="Ttulo">
    <w:name w:val="Títu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737C4"/>
    <w:pPr>
      <w:ind w:left="720"/>
      <w:contextualSpacing/>
    </w:p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735</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rg-adguard</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Ignacio Argonz</cp:lastModifiedBy>
  <cp:revision>14</cp:revision>
  <dcterms:created xsi:type="dcterms:W3CDTF">2020-09-14T20:56:00Z</dcterms:created>
  <dcterms:modified xsi:type="dcterms:W3CDTF">2020-11-12T23:06:00Z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